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-1050921</wp:posOffset>
            </wp:positionV>
            <wp:extent cx="2956560" cy="70358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troppijana.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XESKnSjVnwMn0gImhMNxhd9IA==">CgMxLjA4AHIhMXZzOHhzbnkwNnpMa1J6YmRrZWZBSG5Ha2JEZnZ3Z1h6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